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tbl>
      <w:tblPr>
        <w:tblStyle w:val="Table1"/>
        <w:tblW w:w="93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6945"/>
        <w:gridCol w:w="345"/>
        <w:tblGridChange w:id="0">
          <w:tblGrid>
            <w:gridCol w:w="2070"/>
            <w:gridCol w:w="6945"/>
            <w:gridCol w:w="345"/>
          </w:tblGrid>
        </w:tblGridChange>
      </w:tblGrid>
      <w:tr>
        <w:trPr>
          <w:trHeight w:val="620" w:hRule="atLeast"/>
        </w:trPr>
        <w:tc>
          <w:tcPr>
            <w:gridSpan w:val="2"/>
            <w:tcBorders>
              <w:top w:color="000000" w:space="0" w:sz="3" w:val="single"/>
              <w:left w:color="000000" w:space="0" w:sz="3" w:val="single"/>
              <w:bottom w:color="000000" w:space="0" w:sz="3" w:val="single"/>
              <w:right w:color="000000" w:space="0" w:sz="3" w:val="single"/>
            </w:tcBorders>
            <w:shd w:fill="4a86e8" w:val="clear"/>
            <w:tcMar>
              <w:top w:w="0.0" w:type="dxa"/>
              <w:left w:w="120.0" w:type="dxa"/>
              <w:bottom w:w="0.0" w:type="dxa"/>
              <w:right w:w="120.0" w:type="dxa"/>
            </w:tcMar>
            <w:vAlign w:val="top"/>
          </w:tcPr>
          <w:p w:rsidR="00000000" w:rsidDel="00000000" w:rsidP="00000000" w:rsidRDefault="00000000" w:rsidRPr="00000000">
            <w:pPr>
              <w:pStyle w:val="Heading1"/>
              <w:keepNext w:val="0"/>
              <w:keepLines w:val="0"/>
              <w:spacing w:before="120" w:line="288" w:lineRule="auto"/>
              <w:ind w:left="-120" w:firstLine="0"/>
              <w:contextualSpacing w:val="0"/>
              <w:rPr>
                <w:sz w:val="32"/>
                <w:szCs w:val="32"/>
              </w:rPr>
            </w:pPr>
            <w:bookmarkStart w:colFirst="0" w:colLast="0" w:name="_23w0pmctdq9f" w:id="0"/>
            <w:bookmarkEnd w:id="0"/>
            <w:r w:rsidDel="00000000" w:rsidR="00000000" w:rsidRPr="00000000">
              <w:rPr>
                <w:sz w:val="32"/>
                <w:szCs w:val="32"/>
                <w:rtl w:val="0"/>
              </w:rPr>
              <w:t xml:space="preserve">Supporting Question 2: American Government</w:t>
            </w:r>
          </w:p>
        </w:tc>
        <w:tc>
          <w:tcPr>
            <w:tcBorders>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pPr>
              <w:contextualSpacing w:val="0"/>
              <w:rPr/>
            </w:pPr>
            <w:r w:rsidDel="00000000" w:rsidR="00000000" w:rsidRPr="00000000">
              <w:rPr>
                <w:rtl w:val="0"/>
              </w:rPr>
            </w:r>
          </w:p>
        </w:tc>
      </w:tr>
      <w:tr>
        <w:trPr>
          <w:trHeight w:val="420" w:hRule="atLeast"/>
        </w:trPr>
        <w:tc>
          <w:tcPr>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after="60" w:before="60" w:line="288" w:lineRule="auto"/>
              <w:ind w:left="-120" w:firstLine="0"/>
              <w:contextualSpacing w:val="0"/>
              <w:rPr>
                <w:b w:val="1"/>
                <w:sz w:val="24"/>
                <w:szCs w:val="24"/>
              </w:rPr>
            </w:pPr>
            <w:r w:rsidDel="00000000" w:rsidR="00000000" w:rsidRPr="00000000">
              <w:rPr>
                <w:b w:val="1"/>
                <w:sz w:val="24"/>
                <w:szCs w:val="24"/>
                <w:rtl w:val="0"/>
              </w:rPr>
              <w:t xml:space="preserve">Featured Source</w:t>
            </w:r>
          </w:p>
        </w:tc>
        <w:tc>
          <w:tcPr>
            <w:gridSpan w:val="2"/>
            <w:tcBorders>
              <w:top w:color="000000" w:space="0" w:sz="3" w:val="single"/>
              <w:left w:color="000000" w:space="0" w:sz="3" w:val="single"/>
              <w:bottom w:color="000000" w:space="0" w:sz="3" w:val="single"/>
              <w:right w:color="000000" w:space="0" w:sz="3" w:val="single"/>
            </w:tcBorders>
            <w:shd w:fill="auto" w:val="clear"/>
            <w:tcMar>
              <w:top w:w="0.0" w:type="dxa"/>
              <w:left w:w="120.0" w:type="dxa"/>
              <w:bottom w:w="0.0" w:type="dxa"/>
              <w:right w:w="120.0" w:type="dxa"/>
            </w:tcMar>
            <w:vAlign w:val="top"/>
          </w:tcPr>
          <w:p w:rsidR="00000000" w:rsidDel="00000000" w:rsidP="00000000" w:rsidRDefault="00000000" w:rsidRPr="00000000">
            <w:pPr>
              <w:spacing w:after="60" w:before="60" w:line="288" w:lineRule="auto"/>
              <w:ind w:left="-120" w:firstLine="0"/>
              <w:contextualSpacing w:val="0"/>
              <w:rPr>
                <w:rFonts w:ascii="Georgia" w:cs="Georgia" w:eastAsia="Georgia" w:hAnsi="Georgia"/>
                <w:i w:val="1"/>
                <w:sz w:val="24"/>
                <w:szCs w:val="24"/>
                <w:highlight w:val="white"/>
              </w:rPr>
            </w:pPr>
            <w:r w:rsidDel="00000000" w:rsidR="00000000" w:rsidRPr="00000000">
              <w:rPr>
                <w:b w:val="1"/>
                <w:sz w:val="24"/>
                <w:szCs w:val="24"/>
                <w:rtl w:val="0"/>
              </w:rPr>
              <w:t xml:space="preserve">Source D: </w:t>
            </w:r>
            <w:r w:rsidDel="00000000" w:rsidR="00000000" w:rsidRPr="00000000">
              <w:rPr>
                <w:sz w:val="24"/>
                <w:szCs w:val="24"/>
                <w:rtl w:val="0"/>
              </w:rPr>
              <w:t xml:space="preserve">Excerpts from </w:t>
            </w:r>
            <w:r w:rsidDel="00000000" w:rsidR="00000000" w:rsidRPr="00000000">
              <w:rPr>
                <w:rFonts w:ascii="Georgia" w:cs="Georgia" w:eastAsia="Georgia" w:hAnsi="Georgia"/>
                <w:i w:val="1"/>
                <w:sz w:val="24"/>
                <w:szCs w:val="24"/>
                <w:highlight w:val="white"/>
                <w:rtl w:val="0"/>
              </w:rPr>
              <w:t xml:space="preserve">Virginia Racial Integrity Act of 1924</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hd w:fill="ffffff" w:val="clear"/>
        <w:spacing w:line="504.00000000000006" w:lineRule="auto"/>
        <w:contextualSpacing w:val="0"/>
        <w:rPr>
          <w:sz w:val="24"/>
          <w:szCs w:val="24"/>
        </w:rPr>
      </w:pPr>
      <w:r w:rsidDel="00000000" w:rsidR="00000000" w:rsidRPr="00000000">
        <w:rPr>
          <w:b w:val="1"/>
          <w:sz w:val="24"/>
          <w:szCs w:val="24"/>
          <w:rtl w:val="0"/>
        </w:rPr>
        <w:t xml:space="preserve">Section 1-14 of the Virginia Code:</w:t>
      </w:r>
      <w:r w:rsidDel="00000000" w:rsidR="00000000" w:rsidRPr="00000000">
        <w:rPr>
          <w:sz w:val="24"/>
          <w:szCs w:val="24"/>
          <w:rtl w:val="0"/>
        </w:rPr>
        <w:t xml:space="preserve"> Colored persons and Indians defined—Every person in whom there is ascertainable any Negro blood shall be deemed and taken to be a colored person, and every person not a colored person having one fourth or more of American Indian blood shall be deemed an American Indian. . . .</w:t>
      </w:r>
    </w:p>
    <w:p w:rsidR="00000000" w:rsidDel="00000000" w:rsidP="00000000" w:rsidRDefault="00000000" w:rsidRPr="00000000">
      <w:pPr>
        <w:shd w:fill="ffffff" w:val="clear"/>
        <w:spacing w:line="504.00000000000006" w:lineRule="auto"/>
        <w:contextualSpacing w:val="0"/>
        <w:rPr>
          <w:sz w:val="24"/>
          <w:szCs w:val="24"/>
        </w:rPr>
      </w:pPr>
      <w:r w:rsidDel="00000000" w:rsidR="00000000" w:rsidRPr="00000000">
        <w:rPr>
          <w:b w:val="1"/>
          <w:sz w:val="24"/>
          <w:szCs w:val="24"/>
          <w:rtl w:val="0"/>
        </w:rPr>
        <w:t xml:space="preserve">Section 20-54 of the Virginia Code: </w:t>
      </w:r>
      <w:r w:rsidDel="00000000" w:rsidR="00000000" w:rsidRPr="00000000">
        <w:rPr>
          <w:sz w:val="24"/>
          <w:szCs w:val="24"/>
          <w:rtl w:val="0"/>
        </w:rPr>
        <w:t xml:space="preserve">Intermarriage prohibited; meaning of term ‘white persons.’—It shall hereafter be unlawful for any white person in this State to marry any save a white person, or a person with no other admixture of blood than white and American Indian. For the purpose of this chapter, the term ‘white person’ shall apply only to such person as has no trace whatever of any blood other than Caucasian; but persons who have one-sixteenth or less of the blood of the American Indian and have no other non-Caucasic blood shall be deemed to be white persons. . . .</w:t>
      </w:r>
    </w:p>
    <w:p w:rsidR="00000000" w:rsidDel="00000000" w:rsidP="00000000" w:rsidRDefault="00000000" w:rsidRPr="00000000">
      <w:pPr>
        <w:shd w:fill="ffffff" w:val="clear"/>
        <w:spacing w:line="504.00000000000006" w:lineRule="auto"/>
        <w:contextualSpacing w:val="0"/>
        <w:rPr>
          <w:sz w:val="24"/>
          <w:szCs w:val="24"/>
        </w:rPr>
      </w:pPr>
      <w:r w:rsidDel="00000000" w:rsidR="00000000" w:rsidRPr="00000000">
        <w:rPr>
          <w:b w:val="1"/>
          <w:sz w:val="24"/>
          <w:szCs w:val="24"/>
          <w:rtl w:val="0"/>
        </w:rPr>
        <w:t xml:space="preserve">Section 20-58 of the Virginia Code:</w:t>
      </w:r>
      <w:r w:rsidDel="00000000" w:rsidR="00000000" w:rsidRPr="00000000">
        <w:rPr>
          <w:sz w:val="24"/>
          <w:szCs w:val="24"/>
          <w:rtl w:val="0"/>
        </w:rPr>
        <w:t xml:space="preserve">  Leaving State to evade law —If any white person and colored person shall go out of this State, for the purpose of being married, and with the intention of returning, and be married out of it, and afterwards return to and reside in it, cohabiting as man and wife, they shall be punished as provided in §20-59, and the marriage shall be governed by the same law as if it had been solemnized in this State. The fact of their cohabitation here as man and wife shall be evidence of their marriage.</w:t>
      </w:r>
    </w:p>
    <w:p w:rsidR="00000000" w:rsidDel="00000000" w:rsidP="00000000" w:rsidRDefault="00000000" w:rsidRPr="00000000">
      <w:pPr>
        <w:shd w:fill="ffffff" w:val="clear"/>
        <w:spacing w:line="504.00000000000006" w:lineRule="auto"/>
        <w:contextualSpacing w:val="0"/>
        <w:rPr>
          <w:sz w:val="24"/>
          <w:szCs w:val="24"/>
        </w:rPr>
      </w:pPr>
      <w:r w:rsidDel="00000000" w:rsidR="00000000" w:rsidRPr="00000000">
        <w:rPr>
          <w:b w:val="1"/>
          <w:sz w:val="24"/>
          <w:szCs w:val="24"/>
          <w:rtl w:val="0"/>
        </w:rPr>
        <w:t xml:space="preserve">Section 20-59 of the Virginia Code: </w:t>
      </w:r>
      <w:r w:rsidDel="00000000" w:rsidR="00000000" w:rsidRPr="00000000">
        <w:rPr>
          <w:sz w:val="24"/>
          <w:szCs w:val="24"/>
          <w:rtl w:val="0"/>
        </w:rPr>
        <w:t xml:space="preserve">Punishment for marriage.—If any white person intermarry with a colored person, or any colored person intermarry with a white person, he shall be guilty of a felony and shall be punished by confinement in the penitentiary for not less than one nor more than five years.</w:t>
      </w:r>
    </w:p>
    <w:p w:rsidR="00000000" w:rsidDel="00000000" w:rsidP="00000000" w:rsidRDefault="00000000" w:rsidRPr="00000000">
      <w:pPr>
        <w:contextualSpacing w:val="0"/>
        <w:rPr/>
      </w:pPr>
      <w:r w:rsidDel="00000000" w:rsidR="00000000" w:rsidRPr="00000000">
        <w:rPr>
          <w:sz w:val="24"/>
          <w:szCs w:val="24"/>
          <w:rtl w:val="0"/>
        </w:rPr>
        <w:t xml:space="preserve">Source:</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https://www.facinghistory.org/resource-library/eugenics-race-and-marriage</w:t>
        </w:r>
      </w:hyperlink>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inghistory.org/resource-library/eugenics-race-and-marriage" TargetMode="External"/><Relationship Id="rId7" Type="http://schemas.openxmlformats.org/officeDocument/2006/relationships/hyperlink" Target="https://www.facinghistory.org/resource-library/eugenics-race-and-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